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45" w:rsidRPr="00350CE7" w:rsidRDefault="006C5245" w:rsidP="006C5245">
      <w:pPr>
        <w:snapToGrid w:val="0"/>
        <w:spacing w:line="240" w:lineRule="atLeast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350CE7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新竹市職能治療師公會差旅費申報要點之交通費補助</w:t>
      </w:r>
    </w:p>
    <w:p w:rsidR="006C5245" w:rsidRPr="009D6318" w:rsidRDefault="006C5245" w:rsidP="006C5245">
      <w:pPr>
        <w:rPr>
          <w:rStyle w:val="a8"/>
          <w:rFonts w:ascii="標楷體" w:eastAsia="標楷體" w:hAnsi="標楷體"/>
          <w:color w:val="333333"/>
          <w:sz w:val="36"/>
          <w:szCs w:val="36"/>
          <w:u w:val="single"/>
          <w:shd w:val="clear" w:color="auto" w:fill="FFFFFF"/>
        </w:rPr>
      </w:pPr>
    </w:p>
    <w:p w:rsidR="006C5245" w:rsidRPr="00AF0641" w:rsidRDefault="006C5245" w:rsidP="006C5245">
      <w:pPr>
        <w:jc w:val="center"/>
        <w:rPr>
          <w:rFonts w:ascii="標楷體" w:eastAsia="標楷體" w:hAnsi="標楷體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51"/>
        <w:gridCol w:w="4786"/>
        <w:gridCol w:w="4961"/>
      </w:tblGrid>
      <w:tr w:rsidR="006C5245" w:rsidRPr="006C5245" w:rsidTr="008A2F62">
        <w:tc>
          <w:tcPr>
            <w:tcW w:w="851" w:type="dxa"/>
          </w:tcPr>
          <w:p w:rsidR="006C5245" w:rsidRPr="006C5245" w:rsidRDefault="006C5245" w:rsidP="008A2F62">
            <w:pPr>
              <w:snapToGrid w:val="0"/>
              <w:spacing w:line="240" w:lineRule="atLeast"/>
              <w:ind w:leftChars="-75" w:left="-3" w:hangingChars="63" w:hanging="177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要點</w:t>
            </w:r>
          </w:p>
        </w:tc>
        <w:tc>
          <w:tcPr>
            <w:tcW w:w="4786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修改後內容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原內容</w:t>
            </w:r>
          </w:p>
        </w:tc>
      </w:tr>
      <w:tr w:rsidR="006C5245" w:rsidRPr="006C5245" w:rsidTr="008A2F62">
        <w:tc>
          <w:tcPr>
            <w:tcW w:w="851" w:type="dxa"/>
            <w:vAlign w:val="center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jc w:val="center"/>
              <w:rPr>
                <w:rFonts w:ascii="標楷體" w:hAnsi="標楷體"/>
                <w:b/>
                <w:bCs/>
                <w:color w:val="000000" w:themeColor="text1"/>
                <w:szCs w:val="28"/>
              </w:rPr>
            </w:pPr>
            <w:r w:rsidRPr="006C5245">
              <w:rPr>
                <w:rFonts w:ascii="標楷體" w:hAnsi="標楷體" w:hint="eastAsia"/>
                <w:b/>
                <w:bCs/>
                <w:color w:val="000000" w:themeColor="text1"/>
                <w:szCs w:val="28"/>
              </w:rPr>
              <w:t>二</w:t>
            </w:r>
          </w:p>
        </w:tc>
        <w:tc>
          <w:tcPr>
            <w:tcW w:w="4786" w:type="dxa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凡因</w:t>
            </w:r>
            <w:r w:rsidRPr="006C5245">
              <w:rPr>
                <w:rFonts w:ascii="Comic Sans MS" w:hAnsi="Comic Sans MS" w:cs="新細明體"/>
                <w:color w:val="000000" w:themeColor="text1"/>
                <w:kern w:val="0"/>
                <w:szCs w:val="24"/>
              </w:rPr>
              <w:t>公務出差、講習、研習、會議等</w:t>
            </w: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之人員派遣，應視公務性質及事實需要，事先經</w:t>
            </w:r>
            <w:r w:rsidRPr="006C5245">
              <w:rPr>
                <w:rFonts w:ascii="Comic Sans MS" w:hAnsi="Comic Sans MS"/>
                <w:color w:val="000000" w:themeColor="text1"/>
              </w:rPr>
              <w:t>理事長核</w:t>
            </w: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定，</w:t>
            </w:r>
            <w:r w:rsidRPr="006C5245">
              <w:rPr>
                <w:rFonts w:ascii="Comic Sans MS" w:hAnsi="Comic Sans MS" w:cs="新細明體"/>
                <w:color w:val="000000" w:themeColor="text1"/>
                <w:kern w:val="0"/>
                <w:szCs w:val="24"/>
              </w:rPr>
              <w:t>得依本辦法報支差旅費。</w:t>
            </w: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如利用公文、電話、傳真或電子郵件等通訊工具可資處理者，不得派遣公差。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應視公務性質及事實需要，事先經</w:t>
            </w:r>
            <w:r w:rsidRPr="006C5245">
              <w:rPr>
                <w:rFonts w:ascii="Comic Sans MS" w:hAnsi="Comic Sans MS"/>
                <w:color w:val="000000" w:themeColor="text1"/>
              </w:rPr>
              <w:t>理事長核</w:t>
            </w: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定</w:t>
            </w:r>
            <w:r w:rsidRPr="006C5245">
              <w:rPr>
                <w:rFonts w:ascii="Comic Sans MS" w:hAnsi="Comic Sans MS" w:cs="新細明體"/>
                <w:color w:val="000000" w:themeColor="text1"/>
                <w:kern w:val="0"/>
                <w:szCs w:val="24"/>
              </w:rPr>
              <w:t>。</w:t>
            </w: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如利用公文、電話、傳真或電子郵件等通訊工具可資處理者，不得派遣公差。</w:t>
            </w:r>
          </w:p>
        </w:tc>
      </w:tr>
    </w:tbl>
    <w:p w:rsidR="006C5245" w:rsidRDefault="006C5245" w:rsidP="006C5245">
      <w:pPr>
        <w:jc w:val="center"/>
        <w:rPr>
          <w:rFonts w:ascii="標楷體" w:eastAsia="標楷體" w:hAnsi="標楷體"/>
        </w:rPr>
      </w:pPr>
    </w:p>
    <w:p w:rsidR="006C5245" w:rsidRDefault="006C5245" w:rsidP="006C5245">
      <w:pPr>
        <w:jc w:val="center"/>
        <w:rPr>
          <w:rFonts w:ascii="標楷體" w:eastAsia="標楷體" w:hAnsi="標楷體"/>
        </w:rPr>
      </w:pPr>
    </w:p>
    <w:p w:rsidR="006C5245" w:rsidRDefault="006C5245" w:rsidP="006C5245">
      <w:pPr>
        <w:jc w:val="center"/>
        <w:rPr>
          <w:rFonts w:ascii="標楷體" w:eastAsia="標楷體" w:hAnsi="標楷體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51"/>
        <w:gridCol w:w="4786"/>
        <w:gridCol w:w="4961"/>
      </w:tblGrid>
      <w:tr w:rsidR="006C5245" w:rsidRPr="006C5245" w:rsidTr="008A2F62">
        <w:tc>
          <w:tcPr>
            <w:tcW w:w="851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要點</w:t>
            </w:r>
          </w:p>
        </w:tc>
        <w:tc>
          <w:tcPr>
            <w:tcW w:w="4786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修改後內容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原內容</w:t>
            </w:r>
          </w:p>
        </w:tc>
      </w:tr>
      <w:tr w:rsidR="006C5245" w:rsidRPr="006C5245" w:rsidTr="008A2F62">
        <w:tc>
          <w:tcPr>
            <w:tcW w:w="851" w:type="dxa"/>
            <w:vAlign w:val="center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jc w:val="center"/>
              <w:rPr>
                <w:rFonts w:ascii="標楷體" w:hAnsi="標楷體"/>
                <w:b/>
                <w:bCs/>
                <w:color w:val="000000" w:themeColor="text1"/>
                <w:szCs w:val="28"/>
              </w:rPr>
            </w:pPr>
            <w:r w:rsidRPr="006C5245">
              <w:rPr>
                <w:rFonts w:ascii="標楷體" w:hAnsi="標楷體" w:hint="eastAsia"/>
                <w:b/>
                <w:bCs/>
                <w:color w:val="000000" w:themeColor="text1"/>
                <w:szCs w:val="28"/>
              </w:rPr>
              <w:t>四</w:t>
            </w:r>
          </w:p>
        </w:tc>
        <w:tc>
          <w:tcPr>
            <w:tcW w:w="4786" w:type="dxa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差旅費分為交通費、住宿費及膳雜費三項。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ascii="Comic Sans MS" w:hAnsi="Comic Sans MS"/>
                <w:color w:val="000000" w:themeColor="text1"/>
                <w:szCs w:val="28"/>
              </w:rPr>
              <w:t>差旅費分為交通費、住宿費及膳雜費。</w:t>
            </w:r>
          </w:p>
        </w:tc>
      </w:tr>
    </w:tbl>
    <w:p w:rsidR="006C5245" w:rsidRDefault="006C5245" w:rsidP="006C5245">
      <w:pPr>
        <w:jc w:val="center"/>
        <w:rPr>
          <w:rFonts w:ascii="標楷體" w:eastAsia="標楷體" w:hAnsi="標楷體"/>
        </w:rPr>
      </w:pPr>
    </w:p>
    <w:p w:rsidR="006C5245" w:rsidRDefault="006C5245" w:rsidP="006C5245">
      <w:pPr>
        <w:jc w:val="center"/>
        <w:rPr>
          <w:rFonts w:ascii="標楷體" w:eastAsia="標楷體" w:hAnsi="標楷體"/>
        </w:rPr>
      </w:pPr>
    </w:p>
    <w:p w:rsidR="006C5245" w:rsidRPr="00AF0641" w:rsidRDefault="006C5245" w:rsidP="006C5245">
      <w:pPr>
        <w:jc w:val="center"/>
        <w:rPr>
          <w:rFonts w:ascii="標楷體" w:eastAsia="標楷體" w:hAnsi="標楷體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51"/>
        <w:gridCol w:w="4786"/>
        <w:gridCol w:w="4961"/>
      </w:tblGrid>
      <w:tr w:rsidR="006C5245" w:rsidRPr="006C5245" w:rsidTr="008A2F62">
        <w:tc>
          <w:tcPr>
            <w:tcW w:w="851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要點</w:t>
            </w:r>
          </w:p>
        </w:tc>
        <w:tc>
          <w:tcPr>
            <w:tcW w:w="4786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修改後內容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6C5245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原內容</w:t>
            </w:r>
          </w:p>
        </w:tc>
      </w:tr>
      <w:tr w:rsidR="006C5245" w:rsidRPr="006C5245" w:rsidTr="008A2F62">
        <w:tc>
          <w:tcPr>
            <w:tcW w:w="851" w:type="dxa"/>
            <w:vAlign w:val="center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jc w:val="center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ascii="標楷體" w:hAnsi="標楷體" w:hint="eastAsia"/>
                <w:b/>
                <w:bCs/>
                <w:color w:val="000000" w:themeColor="text1"/>
                <w:szCs w:val="28"/>
              </w:rPr>
              <w:t>五</w:t>
            </w:r>
          </w:p>
        </w:tc>
        <w:tc>
          <w:tcPr>
            <w:tcW w:w="4786" w:type="dxa"/>
          </w:tcPr>
          <w:p w:rsidR="006C5245" w:rsidRPr="006C5245" w:rsidRDefault="006C5245" w:rsidP="006C5245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hAnsi="標楷體" w:hint="eastAsia"/>
                <w:color w:val="000000" w:themeColor="text1"/>
                <w:szCs w:val="28"/>
              </w:rPr>
              <w:t>交通費以高鐵票價為基準，無須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檢附紙本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票根，以電子檔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覈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實報支即可。無高鐵停靠地區，則以自強號比例為基準，依基準計算後之數額進位至百位整數報支，未滿新台幣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200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元者以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200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元報支；若會員自行駕車或是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共乘至開會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地點，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將憑簽到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或出席證明給予新竹市至開會縣市地點的自強號票價的費用。</w:t>
            </w:r>
          </w:p>
        </w:tc>
        <w:tc>
          <w:tcPr>
            <w:tcW w:w="4961" w:type="dxa"/>
          </w:tcPr>
          <w:p w:rsidR="006C5245" w:rsidRPr="006C5245" w:rsidRDefault="006C5245" w:rsidP="008A2F62">
            <w:pPr>
              <w:pStyle w:val="a9"/>
              <w:tabs>
                <w:tab w:val="num" w:pos="600"/>
              </w:tabs>
              <w:snapToGrid w:val="0"/>
              <w:spacing w:line="240" w:lineRule="atLeast"/>
              <w:ind w:left="0" w:right="57" w:firstLine="0"/>
              <w:rPr>
                <w:rFonts w:hAnsi="標楷體"/>
                <w:color w:val="000000" w:themeColor="text1"/>
                <w:szCs w:val="28"/>
              </w:rPr>
            </w:pPr>
            <w:r w:rsidRPr="006C5245">
              <w:rPr>
                <w:rFonts w:hAnsi="標楷體" w:hint="eastAsia"/>
                <w:color w:val="000000" w:themeColor="text1"/>
                <w:szCs w:val="28"/>
              </w:rPr>
              <w:t>交通費以自強號票價為基準，無自強號停靠地區，則以國光號及自強號比例為基準，依基準計算後之數額進位至百位整數報支，未滿新台幣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200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元者以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200</w:t>
            </w:r>
            <w:r w:rsidRPr="006C5245">
              <w:rPr>
                <w:rFonts w:hAnsi="標楷體" w:hint="eastAsia"/>
                <w:color w:val="000000" w:themeColor="text1"/>
                <w:szCs w:val="28"/>
              </w:rPr>
              <w:t>元報支；若會員自行駕車或是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共乘至開會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地點，</w:t>
            </w:r>
            <w:proofErr w:type="gramStart"/>
            <w:r w:rsidRPr="006C5245">
              <w:rPr>
                <w:rFonts w:hAnsi="標楷體" w:hint="eastAsia"/>
                <w:color w:val="000000" w:themeColor="text1"/>
                <w:szCs w:val="28"/>
              </w:rPr>
              <w:t>將憑簽到</w:t>
            </w:r>
            <w:proofErr w:type="gramEnd"/>
            <w:r w:rsidRPr="006C5245">
              <w:rPr>
                <w:rFonts w:hAnsi="標楷體" w:hint="eastAsia"/>
                <w:color w:val="000000" w:themeColor="text1"/>
                <w:szCs w:val="28"/>
              </w:rPr>
              <w:t>或出席證明給予新竹市至開會縣市地點的自強號票價的費用。如因緊急公務或事實之需要搭乘飛機或高鐵者，得檢附機票或車票票根報支。</w:t>
            </w:r>
          </w:p>
        </w:tc>
      </w:tr>
    </w:tbl>
    <w:p w:rsidR="006C5245" w:rsidRDefault="006C5245" w:rsidP="006C5245">
      <w:pPr>
        <w:jc w:val="center"/>
      </w:pPr>
    </w:p>
    <w:p w:rsidR="006C5245" w:rsidRDefault="006C5245" w:rsidP="006C5245">
      <w:pPr>
        <w:jc w:val="center"/>
      </w:pPr>
    </w:p>
    <w:p w:rsidR="006C5245" w:rsidRDefault="006C5245" w:rsidP="006C5245">
      <w:pPr>
        <w:jc w:val="center"/>
      </w:pPr>
    </w:p>
    <w:p w:rsidR="006C5245" w:rsidRDefault="00243C5B" w:rsidP="006C524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</w:t>
      </w:r>
      <w:bookmarkStart w:id="0" w:name="_GoBack"/>
      <w:r>
        <w:rPr>
          <w:rFonts w:ascii="標楷體" w:eastAsia="標楷體" w:hAnsi="標楷體" w:hint="eastAsia"/>
        </w:rPr>
        <w:t>111.12.18會員大會  修訂</w:t>
      </w:r>
      <w:bookmarkEnd w:id="0"/>
    </w:p>
    <w:p w:rsidR="00EF64D4" w:rsidRPr="006C5245" w:rsidRDefault="00EF64D4"/>
    <w:sectPr w:rsidR="00EF64D4" w:rsidRPr="006C5245" w:rsidSect="006C52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6F" w:rsidRDefault="001B166F" w:rsidP="006C5245">
      <w:r>
        <w:separator/>
      </w:r>
    </w:p>
  </w:endnote>
  <w:endnote w:type="continuationSeparator" w:id="0">
    <w:p w:rsidR="001B166F" w:rsidRDefault="001B166F" w:rsidP="006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6F" w:rsidRDefault="001B166F" w:rsidP="006C5245">
      <w:r>
        <w:separator/>
      </w:r>
    </w:p>
  </w:footnote>
  <w:footnote w:type="continuationSeparator" w:id="0">
    <w:p w:rsidR="001B166F" w:rsidRDefault="001B166F" w:rsidP="006C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195"/>
    <w:rsid w:val="001B166F"/>
    <w:rsid w:val="00243C5B"/>
    <w:rsid w:val="006C5245"/>
    <w:rsid w:val="00D91195"/>
    <w:rsid w:val="00E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45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24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5245"/>
    <w:rPr>
      <w:kern w:val="2"/>
    </w:rPr>
  </w:style>
  <w:style w:type="paragraph" w:styleId="a5">
    <w:name w:val="footer"/>
    <w:basedOn w:val="a"/>
    <w:link w:val="a6"/>
    <w:uiPriority w:val="99"/>
    <w:unhideWhenUsed/>
    <w:rsid w:val="006C5245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5245"/>
    <w:rPr>
      <w:kern w:val="2"/>
    </w:rPr>
  </w:style>
  <w:style w:type="table" w:styleId="a7">
    <w:name w:val="Table Grid"/>
    <w:basedOn w:val="a1"/>
    <w:uiPriority w:val="39"/>
    <w:rsid w:val="006C5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C5245"/>
    <w:rPr>
      <w:b/>
      <w:bCs/>
    </w:rPr>
  </w:style>
  <w:style w:type="paragraph" w:customStyle="1" w:styleId="a9">
    <w:name w:val="條"/>
    <w:basedOn w:val="a"/>
    <w:rsid w:val="006C5245"/>
    <w:pPr>
      <w:widowControl w:val="0"/>
      <w:ind w:left="266" w:hanging="266"/>
      <w:jc w:val="both"/>
    </w:pPr>
    <w:rPr>
      <w:rFonts w:ascii="Times New Roman" w:eastAsia="標楷體" w:hAnsi="Times New Roman" w:cs="Times New Roman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Winnie</cp:lastModifiedBy>
  <cp:revision>3</cp:revision>
  <dcterms:created xsi:type="dcterms:W3CDTF">2023-12-13T07:46:00Z</dcterms:created>
  <dcterms:modified xsi:type="dcterms:W3CDTF">2023-12-13T07:47:00Z</dcterms:modified>
</cp:coreProperties>
</file>